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附件</w:t>
      </w:r>
    </w:p>
    <w:p>
      <w:pPr>
        <w:spacing w:beforeLines="50" w:afterLines="1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宜昌市市级实行告知承诺制证明事项目录</w:t>
      </w:r>
    </w:p>
    <w:tbl>
      <w:tblPr>
        <w:tblStyle w:val="4"/>
        <w:tblW w:w="12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381"/>
        <w:gridCol w:w="344"/>
        <w:gridCol w:w="538"/>
        <w:gridCol w:w="769"/>
        <w:gridCol w:w="1131"/>
        <w:gridCol w:w="1192"/>
        <w:gridCol w:w="3518"/>
        <w:gridCol w:w="478"/>
        <w:gridCol w:w="551"/>
        <w:gridCol w:w="348"/>
        <w:gridCol w:w="304"/>
        <w:gridCol w:w="275"/>
        <w:gridCol w:w="246"/>
        <w:gridCol w:w="290"/>
        <w:gridCol w:w="652"/>
        <w:gridCol w:w="767"/>
        <w:gridCol w:w="643"/>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6" w:hRule="atLeast"/>
          <w:jc w:val="center"/>
        </w:trPr>
        <w:tc>
          <w:tcPr>
            <w:tcW w:w="381"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单位</w:t>
            </w:r>
          </w:p>
        </w:tc>
        <w:tc>
          <w:tcPr>
            <w:tcW w:w="344"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序号</w:t>
            </w:r>
          </w:p>
        </w:tc>
        <w:tc>
          <w:tcPr>
            <w:tcW w:w="538"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 xml:space="preserve">证明       （或审批） </w:t>
            </w:r>
            <w:r>
              <w:rPr>
                <w:rFonts w:hint="eastAsia" w:ascii="仿宋_GB2312" w:hAnsi="仿宋_GB2312" w:eastAsia="仿宋_GB2312" w:cs="仿宋_GB2312"/>
                <w:color w:val="000000"/>
                <w:w w:val="80"/>
                <w:kern w:val="0"/>
                <w:szCs w:val="21"/>
              </w:rPr>
              <w:br w:type="textWrapping"/>
            </w:r>
            <w:r>
              <w:rPr>
                <w:rFonts w:hint="eastAsia" w:ascii="仿宋_GB2312" w:hAnsi="仿宋_GB2312" w:eastAsia="仿宋_GB2312" w:cs="仿宋_GB2312"/>
                <w:color w:val="000000"/>
                <w:w w:val="80"/>
                <w:kern w:val="0"/>
                <w:szCs w:val="21"/>
              </w:rPr>
              <w:t>名称</w:t>
            </w:r>
          </w:p>
        </w:tc>
        <w:tc>
          <w:tcPr>
            <w:tcW w:w="769" w:type="dxa"/>
            <w:vMerge w:val="restart"/>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w w:val="80"/>
                <w:kern w:val="0"/>
                <w:szCs w:val="21"/>
              </w:rPr>
            </w:pPr>
            <w:r>
              <w:rPr>
                <w:rFonts w:hint="eastAsia" w:ascii="仿宋_GB2312" w:hAnsi="仿宋_GB2312" w:eastAsia="仿宋_GB2312" w:cs="仿宋_GB2312"/>
                <w:color w:val="000000"/>
                <w:w w:val="80"/>
                <w:kern w:val="0"/>
                <w:szCs w:val="21"/>
              </w:rPr>
              <w:t>证明            （或审批）</w:t>
            </w:r>
          </w:p>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用途</w:t>
            </w:r>
          </w:p>
        </w:tc>
        <w:tc>
          <w:tcPr>
            <w:tcW w:w="1131"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证明内容</w:t>
            </w:r>
          </w:p>
        </w:tc>
        <w:tc>
          <w:tcPr>
            <w:tcW w:w="1192"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设定依据</w:t>
            </w:r>
          </w:p>
        </w:tc>
        <w:tc>
          <w:tcPr>
            <w:tcW w:w="3518"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依据条文内容</w:t>
            </w:r>
          </w:p>
        </w:tc>
        <w:tc>
          <w:tcPr>
            <w:tcW w:w="1029" w:type="dxa"/>
            <w:gridSpan w:val="2"/>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w w:val="80"/>
                <w:kern w:val="0"/>
                <w:szCs w:val="21"/>
              </w:rPr>
            </w:pPr>
            <w:r>
              <w:rPr>
                <w:rFonts w:hint="eastAsia" w:ascii="仿宋_GB2312" w:hAnsi="仿宋_GB2312" w:eastAsia="仿宋_GB2312" w:cs="仿宋_GB2312"/>
                <w:color w:val="000000"/>
                <w:w w:val="80"/>
                <w:kern w:val="0"/>
                <w:szCs w:val="21"/>
              </w:rPr>
              <w:t>实施基本</w:t>
            </w:r>
          </w:p>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情况</w:t>
            </w:r>
          </w:p>
        </w:tc>
        <w:tc>
          <w:tcPr>
            <w:tcW w:w="1173" w:type="dxa"/>
            <w:gridSpan w:val="4"/>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行使层级</w:t>
            </w:r>
          </w:p>
        </w:tc>
        <w:tc>
          <w:tcPr>
            <w:tcW w:w="290"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事项类型</w:t>
            </w:r>
          </w:p>
        </w:tc>
        <w:tc>
          <w:tcPr>
            <w:tcW w:w="2506" w:type="dxa"/>
            <w:gridSpan w:val="4"/>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实行告知承诺制方式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6" w:hRule="atLeast"/>
          <w:jc w:val="center"/>
        </w:trPr>
        <w:tc>
          <w:tcPr>
            <w:tcW w:w="381"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344"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538" w:type="dxa"/>
            <w:vMerge w:val="continue"/>
            <w:shd w:val="clear" w:color="auto" w:fill="auto"/>
            <w:vAlign w:val="center"/>
          </w:tcPr>
          <w:p>
            <w:pPr>
              <w:widowControl/>
              <w:spacing w:line="260" w:lineRule="exact"/>
              <w:jc w:val="left"/>
              <w:rPr>
                <w:rFonts w:ascii="仿宋_GB2312" w:hAnsi="仿宋_GB2312" w:eastAsia="仿宋_GB2312" w:cs="仿宋_GB2312"/>
                <w:color w:val="000000"/>
                <w:w w:val="80"/>
                <w:szCs w:val="21"/>
              </w:rPr>
            </w:pPr>
          </w:p>
        </w:tc>
        <w:tc>
          <w:tcPr>
            <w:tcW w:w="769" w:type="dxa"/>
            <w:vMerge w:val="continue"/>
            <w:shd w:val="clear" w:color="auto" w:fill="auto"/>
            <w:vAlign w:val="center"/>
          </w:tcPr>
          <w:p>
            <w:pPr>
              <w:widowControl/>
              <w:spacing w:line="260" w:lineRule="exact"/>
              <w:jc w:val="left"/>
              <w:rPr>
                <w:rFonts w:ascii="仿宋_GB2312" w:hAnsi="仿宋_GB2312" w:eastAsia="仿宋_GB2312" w:cs="仿宋_GB2312"/>
                <w:color w:val="000000"/>
                <w:w w:val="80"/>
                <w:szCs w:val="21"/>
              </w:rPr>
            </w:pPr>
          </w:p>
        </w:tc>
        <w:tc>
          <w:tcPr>
            <w:tcW w:w="1131"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1192" w:type="dxa"/>
            <w:vMerge w:val="continue"/>
            <w:shd w:val="clear" w:color="auto" w:fill="auto"/>
            <w:vAlign w:val="center"/>
          </w:tcPr>
          <w:p>
            <w:pPr>
              <w:widowControl/>
              <w:spacing w:line="260" w:lineRule="exact"/>
              <w:jc w:val="left"/>
              <w:rPr>
                <w:rFonts w:ascii="仿宋_GB2312" w:hAnsi="仿宋_GB2312" w:eastAsia="仿宋_GB2312" w:cs="仿宋_GB2312"/>
                <w:color w:val="000000"/>
                <w:w w:val="80"/>
                <w:szCs w:val="21"/>
              </w:rPr>
            </w:pPr>
          </w:p>
        </w:tc>
        <w:tc>
          <w:tcPr>
            <w:tcW w:w="3518"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478"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索要单位</w:t>
            </w:r>
          </w:p>
        </w:tc>
        <w:tc>
          <w:tcPr>
            <w:tcW w:w="551"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开具单位</w:t>
            </w:r>
          </w:p>
        </w:tc>
        <w:tc>
          <w:tcPr>
            <w:tcW w:w="348"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省级</w:t>
            </w:r>
          </w:p>
        </w:tc>
        <w:tc>
          <w:tcPr>
            <w:tcW w:w="304"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市级</w:t>
            </w:r>
          </w:p>
        </w:tc>
        <w:tc>
          <w:tcPr>
            <w:tcW w:w="275"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县级</w:t>
            </w:r>
          </w:p>
        </w:tc>
        <w:tc>
          <w:tcPr>
            <w:tcW w:w="246"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szCs w:val="21"/>
              </w:rPr>
              <w:t>乡镇级及其它</w:t>
            </w:r>
          </w:p>
        </w:tc>
        <w:tc>
          <w:tcPr>
            <w:tcW w:w="290"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652"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申请人承诺后，部门即给予办理，无需再提交证明</w:t>
            </w:r>
          </w:p>
        </w:tc>
        <w:tc>
          <w:tcPr>
            <w:tcW w:w="767"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申请人承诺后，通过部门自行核查，无需申请人提交证明</w:t>
            </w:r>
          </w:p>
        </w:tc>
        <w:tc>
          <w:tcPr>
            <w:tcW w:w="643"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申请人承诺后，需要在一定期限内补齐证明</w:t>
            </w:r>
          </w:p>
        </w:tc>
        <w:tc>
          <w:tcPr>
            <w:tcW w:w="44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证明材料核查方式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6" w:hRule="atLeast"/>
          <w:jc w:val="center"/>
        </w:trPr>
        <w:tc>
          <w:tcPr>
            <w:tcW w:w="381" w:type="dxa"/>
            <w:vMerge w:val="restart"/>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市教育局</w:t>
            </w:r>
          </w:p>
        </w:tc>
        <w:tc>
          <w:tcPr>
            <w:tcW w:w="34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13</w:t>
            </w:r>
          </w:p>
        </w:tc>
        <w:tc>
          <w:tcPr>
            <w:tcW w:w="53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中职学历证明</w:t>
            </w:r>
          </w:p>
        </w:tc>
        <w:tc>
          <w:tcPr>
            <w:tcW w:w="769" w:type="dxa"/>
            <w:shd w:val="clear" w:color="auto" w:fill="auto"/>
            <w:vAlign w:val="center"/>
          </w:tcPr>
          <w:p>
            <w:pPr>
              <w:widowControl/>
              <w:spacing w:line="260" w:lineRule="exac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spacing w:val="-8"/>
                <w:w w:val="80"/>
                <w:kern w:val="0"/>
                <w:szCs w:val="21"/>
              </w:rPr>
              <w:t>中职毕业证遗失的，证明学历有效性，证明等同于毕业证。</w:t>
            </w:r>
          </w:p>
        </w:tc>
        <w:tc>
          <w:tcPr>
            <w:tcW w:w="1131"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证明学历有效性</w:t>
            </w:r>
          </w:p>
        </w:tc>
        <w:tc>
          <w:tcPr>
            <w:tcW w:w="1192"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《中等职业学校学生学籍管理办法》</w:t>
            </w:r>
          </w:p>
        </w:tc>
        <w:tc>
          <w:tcPr>
            <w:tcW w:w="351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中等职业学校学生学籍管理办法》(教职成〔2010〕7号)第三十八条：毕业证书遗失可以由省级教育行政部门或其委托的机构出具学历证明书，补办学历证明书所需证明材料由省级教育行政部门规定。学历证明书与毕业证书具有同等效力。</w:t>
            </w:r>
          </w:p>
        </w:tc>
        <w:tc>
          <w:tcPr>
            <w:tcW w:w="478"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用人单位、资格证考试报名单位，外省民政部门、扩招高校</w:t>
            </w:r>
          </w:p>
        </w:tc>
        <w:tc>
          <w:tcPr>
            <w:tcW w:w="551"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市教育局</w:t>
            </w:r>
          </w:p>
        </w:tc>
        <w:tc>
          <w:tcPr>
            <w:tcW w:w="348"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30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275"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246"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290"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公共服务</w:t>
            </w:r>
          </w:p>
        </w:tc>
        <w:tc>
          <w:tcPr>
            <w:tcW w:w="652"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767"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643"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444"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“一网通”线上办理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069" w:hRule="atLeast"/>
          <w:jc w:val="center"/>
        </w:trPr>
        <w:tc>
          <w:tcPr>
            <w:tcW w:w="381"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34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14</w:t>
            </w:r>
          </w:p>
        </w:tc>
        <w:tc>
          <w:tcPr>
            <w:tcW w:w="53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学校资产的有效证明</w:t>
            </w:r>
          </w:p>
        </w:tc>
        <w:tc>
          <w:tcPr>
            <w:tcW w:w="769"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高中阶段民办学校设立审批</w:t>
            </w:r>
          </w:p>
        </w:tc>
        <w:tc>
          <w:tcPr>
            <w:tcW w:w="1131"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学校有效资产</w:t>
            </w:r>
          </w:p>
        </w:tc>
        <w:tc>
          <w:tcPr>
            <w:tcW w:w="1192"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《民办教育促进法》</w:t>
            </w:r>
          </w:p>
        </w:tc>
        <w:tc>
          <w:tcPr>
            <w:tcW w:w="3518" w:type="dxa"/>
            <w:shd w:val="clear" w:color="auto" w:fill="auto"/>
            <w:vAlign w:val="center"/>
          </w:tcPr>
          <w:p>
            <w:pPr>
              <w:widowControl/>
              <w:spacing w:line="260" w:lineRule="exact"/>
              <w:jc w:val="left"/>
              <w:textAlignment w:val="center"/>
              <w:rPr>
                <w:rFonts w:ascii="仿宋_GB2312" w:hAnsi="仿宋_GB2312" w:eastAsia="仿宋_GB2312" w:cs="仿宋_GB2312"/>
                <w:color w:val="000000"/>
                <w:spacing w:val="-2"/>
                <w:w w:val="80"/>
                <w:szCs w:val="21"/>
              </w:rPr>
            </w:pPr>
            <w:r>
              <w:rPr>
                <w:rFonts w:hint="eastAsia" w:ascii="仿宋_GB2312" w:hAnsi="仿宋_GB2312" w:eastAsia="仿宋_GB2312" w:cs="仿宋_GB2312"/>
                <w:color w:val="000000"/>
                <w:w w:val="80"/>
                <w:kern w:val="0"/>
                <w:szCs w:val="21"/>
              </w:rPr>
              <w:t>《民办教育促进法》第十五条　申请正式设立民办学校的，举办者应当向审批机关提交下列材料:...（四）学校资产的有效证明文件；（五）校长、教师、财会人员的资格证明文件。第十六条　具备办学条件，达到设置标准的，可以直接申请正式设立，并应当提交本法第十三条和第十五条（三）、（四）、（五）项规定的材料。</w:t>
            </w:r>
          </w:p>
        </w:tc>
        <w:tc>
          <w:tcPr>
            <w:tcW w:w="478"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市教育局</w:t>
            </w:r>
          </w:p>
        </w:tc>
        <w:tc>
          <w:tcPr>
            <w:tcW w:w="551"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评估单位、银行</w:t>
            </w:r>
          </w:p>
        </w:tc>
        <w:tc>
          <w:tcPr>
            <w:tcW w:w="348"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30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275"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246"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290"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行政许可</w:t>
            </w:r>
          </w:p>
        </w:tc>
        <w:tc>
          <w:tcPr>
            <w:tcW w:w="652"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767"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643"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444"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“一网通”线上办理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667" w:hRule="atLeast"/>
          <w:jc w:val="center"/>
        </w:trPr>
        <w:tc>
          <w:tcPr>
            <w:tcW w:w="381"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34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15</w:t>
            </w:r>
          </w:p>
        </w:tc>
        <w:tc>
          <w:tcPr>
            <w:tcW w:w="53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校长、教师、财会人员的资格证明材料</w:t>
            </w:r>
          </w:p>
        </w:tc>
        <w:tc>
          <w:tcPr>
            <w:tcW w:w="769"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高中阶段民办学校设立审批</w:t>
            </w:r>
          </w:p>
        </w:tc>
        <w:tc>
          <w:tcPr>
            <w:tcW w:w="1131"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相关人员资质</w:t>
            </w:r>
          </w:p>
        </w:tc>
        <w:tc>
          <w:tcPr>
            <w:tcW w:w="1192"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《民办教育促进法》</w:t>
            </w:r>
          </w:p>
        </w:tc>
        <w:tc>
          <w:tcPr>
            <w:tcW w:w="351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《民办教育促进法》第十五条　申请正式设立民办学校的，举办者应当向审批机关提交下列材料:...（四）学校资产的有效证明文件；（五）校长、教师、财会人员的资格证明文件。第十六条　具备办学条件，达到设置标准的，可以直接申请正式设立，并应当提交本法第十三条和第十五条（三）、（四）、（五）项规定的材料。</w:t>
            </w:r>
          </w:p>
        </w:tc>
        <w:tc>
          <w:tcPr>
            <w:tcW w:w="478"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市教育局</w:t>
            </w:r>
          </w:p>
        </w:tc>
        <w:tc>
          <w:tcPr>
            <w:tcW w:w="551"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教育部门</w:t>
            </w:r>
          </w:p>
        </w:tc>
        <w:tc>
          <w:tcPr>
            <w:tcW w:w="348"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30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275"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246"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290"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行政许可</w:t>
            </w:r>
          </w:p>
        </w:tc>
        <w:tc>
          <w:tcPr>
            <w:tcW w:w="652"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767"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643"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444"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“一网通”线上办理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093" w:hRule="atLeast"/>
          <w:jc w:val="center"/>
        </w:trPr>
        <w:tc>
          <w:tcPr>
            <w:tcW w:w="381" w:type="dxa"/>
            <w:vMerge w:val="continue"/>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34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16</w:t>
            </w:r>
          </w:p>
        </w:tc>
        <w:tc>
          <w:tcPr>
            <w:tcW w:w="538" w:type="dxa"/>
            <w:shd w:val="clear" w:color="auto" w:fill="auto"/>
            <w:vAlign w:val="center"/>
          </w:tcPr>
          <w:p>
            <w:pPr>
              <w:widowControl/>
              <w:spacing w:line="260" w:lineRule="exac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学</w:t>
            </w:r>
            <w:r>
              <w:rPr>
                <w:rFonts w:hint="eastAsia" w:ascii="仿宋_GB2312" w:hAnsi="仿宋_GB2312" w:eastAsia="仿宋_GB2312" w:cs="仿宋_GB2312"/>
                <w:color w:val="000000"/>
                <w:spacing w:val="-14"/>
                <w:w w:val="80"/>
                <w:kern w:val="0"/>
                <w:szCs w:val="21"/>
              </w:rPr>
              <w:t>前教育资助、义务教育阶段家庭经济困难学生补助生活费、高中和中职国家助学金及免学费资金相关证明材料</w:t>
            </w:r>
          </w:p>
        </w:tc>
        <w:tc>
          <w:tcPr>
            <w:tcW w:w="769"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学前教育资助、义务教育资助、高中和中职国家助学金及免学费资金申请</w:t>
            </w:r>
          </w:p>
        </w:tc>
        <w:tc>
          <w:tcPr>
            <w:tcW w:w="1131"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受资助基本情况和条件</w:t>
            </w:r>
          </w:p>
        </w:tc>
        <w:tc>
          <w:tcPr>
            <w:tcW w:w="1192"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《省教育厅 省财政厅 省民政厅 省人力资源和社会保障厅 省退役军人事务厅 省扶贫办 省残联关于印发&lt;湖北省家庭经济困难学生认定工作实施办法&gt;的通知》（鄂教助〔2020〕1号）</w:t>
            </w:r>
          </w:p>
        </w:tc>
        <w:tc>
          <w:tcPr>
            <w:tcW w:w="3518"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根据鄂教助〔2020〕1号文件，1-6类家庭经济困难学生包括建档立卡贫困家庭子女、低保家庭(有家庭成员是低保对象)学生、特困供养学生、孤儿和事实无人抚养儿童、烈士子女、残疾学生通过信息比对确认后填写《家庭经济困难学生确认表》。其他家庭经济困难学生主要包括扶贫部门监测的边缘户(边缘易致贫户)，享受国家定期优抚补助的优抚对象子女，家庭经济困难残疾人子女，因家庭遭受重大自然灾害（疫情）造成重大损失、因家庭成员遭受重大疾病或意外伤害、因家庭发生重大变故等情况影响其子女入学就读及其他需要资助的低收入家庭经济困难学生，填写《家庭经济困难学生申请表》，这些困难情况的出现具有一定的偶然性、突发性，且学生家庭可能是非本地户籍，认定难度大，所以实行学生或监护人承诺制，由学校通过家访、电话访谈等方式核实，须经户籍地或取得居住证所在地村（居）委会或相关部门根据其家庭经济实际状况签署审核意见并签章。</w:t>
            </w:r>
          </w:p>
        </w:tc>
        <w:tc>
          <w:tcPr>
            <w:tcW w:w="478"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市教育局（市学生资助管理中心）</w:t>
            </w:r>
          </w:p>
        </w:tc>
        <w:tc>
          <w:tcPr>
            <w:tcW w:w="551"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扶贫办、民政局、退役军人事务局、残联、村（居）委会</w:t>
            </w:r>
          </w:p>
        </w:tc>
        <w:tc>
          <w:tcPr>
            <w:tcW w:w="348"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304"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275"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246" w:type="dxa"/>
            <w:shd w:val="clear" w:color="auto" w:fill="auto"/>
            <w:vAlign w:val="center"/>
          </w:tcPr>
          <w:p>
            <w:pPr>
              <w:widowControl/>
              <w:spacing w:line="260" w:lineRule="exact"/>
              <w:jc w:val="center"/>
              <w:rPr>
                <w:rFonts w:ascii="仿宋_GB2312" w:hAnsi="仿宋_GB2312" w:eastAsia="仿宋_GB2312" w:cs="仿宋_GB2312"/>
                <w:color w:val="000000"/>
                <w:w w:val="80"/>
                <w:szCs w:val="21"/>
              </w:rPr>
            </w:pPr>
          </w:p>
        </w:tc>
        <w:tc>
          <w:tcPr>
            <w:tcW w:w="290"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行政许可</w:t>
            </w:r>
          </w:p>
        </w:tc>
        <w:tc>
          <w:tcPr>
            <w:tcW w:w="652"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767" w:type="dxa"/>
            <w:shd w:val="clear" w:color="auto" w:fill="auto"/>
            <w:vAlign w:val="center"/>
          </w:tcPr>
          <w:p>
            <w:pPr>
              <w:widowControl/>
              <w:spacing w:line="260" w:lineRule="exact"/>
              <w:rPr>
                <w:rFonts w:ascii="仿宋_GB2312" w:hAnsi="仿宋_GB2312" w:eastAsia="仿宋_GB2312" w:cs="仿宋_GB2312"/>
                <w:color w:val="000000"/>
                <w:w w:val="80"/>
                <w:szCs w:val="21"/>
              </w:rPr>
            </w:pPr>
          </w:p>
        </w:tc>
        <w:tc>
          <w:tcPr>
            <w:tcW w:w="643" w:type="dxa"/>
            <w:shd w:val="clear" w:color="auto" w:fill="auto"/>
            <w:vAlign w:val="center"/>
          </w:tcPr>
          <w:p>
            <w:pPr>
              <w:widowControl/>
              <w:spacing w:line="260" w:lineRule="exact"/>
              <w:jc w:val="center"/>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w:t>
            </w:r>
          </w:p>
        </w:tc>
        <w:tc>
          <w:tcPr>
            <w:tcW w:w="444" w:type="dxa"/>
            <w:shd w:val="clear" w:color="auto" w:fill="auto"/>
            <w:vAlign w:val="center"/>
          </w:tcPr>
          <w:p>
            <w:pPr>
              <w:widowControl/>
              <w:spacing w:line="260" w:lineRule="exact"/>
              <w:jc w:val="left"/>
              <w:textAlignment w:val="center"/>
              <w:rPr>
                <w:rFonts w:ascii="仿宋_GB2312" w:hAnsi="仿宋_GB2312" w:eastAsia="仿宋_GB2312" w:cs="仿宋_GB2312"/>
                <w:color w:val="000000"/>
                <w:w w:val="80"/>
                <w:szCs w:val="21"/>
              </w:rPr>
            </w:pPr>
            <w:r>
              <w:rPr>
                <w:rFonts w:hint="eastAsia" w:ascii="仿宋_GB2312" w:hAnsi="仿宋_GB2312" w:eastAsia="仿宋_GB2312" w:cs="仿宋_GB2312"/>
                <w:color w:val="000000"/>
                <w:w w:val="80"/>
                <w:kern w:val="0"/>
                <w:szCs w:val="21"/>
              </w:rPr>
              <w:t>就读学校核实</w:t>
            </w:r>
          </w:p>
        </w:tc>
      </w:tr>
    </w:tbl>
    <w:p>
      <w:pPr>
        <w:jc w:val="center"/>
      </w:pPr>
      <w:bookmarkStart w:id="0" w:name="_GoBack"/>
      <w:bookmarkEnd w:id="0"/>
    </w:p>
    <w:sectPr>
      <w:pgSz w:w="16840" w:h="11907" w:orient="landscape"/>
      <w:pgMar w:top="1463" w:right="1440" w:bottom="1463" w:left="1440"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8"/>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A203C7"/>
    <w:rsid w:val="000159C7"/>
    <w:rsid w:val="0005206D"/>
    <w:rsid w:val="000A1C5A"/>
    <w:rsid w:val="000E0966"/>
    <w:rsid w:val="00102FAB"/>
    <w:rsid w:val="00176091"/>
    <w:rsid w:val="001A22D0"/>
    <w:rsid w:val="001E200B"/>
    <w:rsid w:val="002033BA"/>
    <w:rsid w:val="002D0859"/>
    <w:rsid w:val="00325D1B"/>
    <w:rsid w:val="003325F6"/>
    <w:rsid w:val="00390145"/>
    <w:rsid w:val="003B10A2"/>
    <w:rsid w:val="003E3BE0"/>
    <w:rsid w:val="004374A7"/>
    <w:rsid w:val="0049095A"/>
    <w:rsid w:val="004A370A"/>
    <w:rsid w:val="004F0C5C"/>
    <w:rsid w:val="005033EF"/>
    <w:rsid w:val="0068427D"/>
    <w:rsid w:val="006855B4"/>
    <w:rsid w:val="0079399C"/>
    <w:rsid w:val="007E2B92"/>
    <w:rsid w:val="00802EFC"/>
    <w:rsid w:val="008B2C9D"/>
    <w:rsid w:val="00946E43"/>
    <w:rsid w:val="00967927"/>
    <w:rsid w:val="00976101"/>
    <w:rsid w:val="00992588"/>
    <w:rsid w:val="00A52BF9"/>
    <w:rsid w:val="00A856CB"/>
    <w:rsid w:val="00A917BD"/>
    <w:rsid w:val="00AB0A7C"/>
    <w:rsid w:val="00AC2090"/>
    <w:rsid w:val="00AD1E85"/>
    <w:rsid w:val="00B00C08"/>
    <w:rsid w:val="00B37BC0"/>
    <w:rsid w:val="00B735C4"/>
    <w:rsid w:val="00BC277E"/>
    <w:rsid w:val="00C714E0"/>
    <w:rsid w:val="00C8501B"/>
    <w:rsid w:val="00D07CFA"/>
    <w:rsid w:val="00DB2335"/>
    <w:rsid w:val="00E72966"/>
    <w:rsid w:val="00E74733"/>
    <w:rsid w:val="00E82BE1"/>
    <w:rsid w:val="00E84F07"/>
    <w:rsid w:val="00E9457A"/>
    <w:rsid w:val="00EE1A86"/>
    <w:rsid w:val="00F06958"/>
    <w:rsid w:val="00F520F8"/>
    <w:rsid w:val="00FE092F"/>
    <w:rsid w:val="00FF07CE"/>
    <w:rsid w:val="33A203C7"/>
    <w:rsid w:val="68F33BA9"/>
    <w:rsid w:val="8366B5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61"/>
    <w:basedOn w:val="5"/>
    <w:qFormat/>
    <w:uiPriority w:val="0"/>
    <w:rPr>
      <w:rFonts w:ascii="Calibri" w:hAnsi="Calibri" w:cs="Calibri"/>
      <w:color w:val="000000"/>
      <w:sz w:val="24"/>
      <w:szCs w:val="24"/>
      <w:u w:val="none"/>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3045</Words>
  <Characters>17363</Characters>
  <Lines>144</Lines>
  <Paragraphs>40</Paragraphs>
  <TotalTime>1</TotalTime>
  <ScaleCrop>false</ScaleCrop>
  <LinksUpToDate>false</LinksUpToDate>
  <CharactersWithSpaces>20368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2021-04-02T17:11:00Z</dcterms:created>
  <dc:creator>文印中心（谢勇）</dc:creator>
  <cp:lastModifiedBy>greatwall</cp:lastModifiedBy>
  <cp:lastPrinted>2021-04-02T17:02:00Z</cp:lastPrinted>
  <dcterms:modified xsi:type="dcterms:W3CDTF">2021-04-15T10:13:28Z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